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72"/>
          <w:szCs w:val="72"/>
        </w:rPr>
      </w:pPr>
      <w:r>
        <w:rPr>
          <w:rFonts w:hint="eastAsia" w:ascii="’" w:hAnsi="’" w:eastAsia="宋体" w:cs="宋体"/>
          <w:b/>
          <w:bCs w:val="0"/>
          <w:color w:val="FF0000"/>
          <w:w w:val="60"/>
          <w:sz w:val="72"/>
          <w:szCs w:val="72"/>
        </w:rPr>
        <w:t>中共山东理工大学委员会办公室文件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 </w:t>
      </w:r>
      <w:r>
        <w:rPr>
          <w:rFonts w:ascii="仿宋_GB2312" w:hAnsi="Times New Roman" w:eastAsia="仿宋_GB2312" w:cs="Times New Roman"/>
          <w:kern w:val="2"/>
          <w:sz w:val="32"/>
          <w:szCs w:val="24"/>
          <w:lang w:val="en-US" w:eastAsia="zh-CN" w:bidi="ar"/>
        </w:rPr>
        <w:t>鲁理工大党办发</w:t>
      </w:r>
      <w:r>
        <w:rPr>
          <w:rFonts w:hint="eastAsia" w:ascii="仿宋_GB2312" w:hAnsi="宋体" w:eastAsia="仿宋_GB2312" w:cs="’Times New Roman’"/>
          <w:kern w:val="2"/>
          <w:sz w:val="32"/>
          <w:szCs w:val="32"/>
          <w:lang w:val="en-US" w:eastAsia="zh-CN" w:bidi="ar"/>
        </w:rPr>
        <w:t>〔2013〕14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rPr>
          <w:color w:val="FF0000"/>
        </w:rPr>
      </w:pPr>
      <w:r>
        <w:pict>
          <v:rect id="_x0000_i1025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中共山东理工大学委员会办公室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关于印发《山东理工大学优秀教师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b/>
          <w:spacing w:val="32"/>
          <w:kern w:val="0"/>
          <w:sz w:val="44"/>
          <w:szCs w:val="44"/>
          <w:lang w:val="en-US" w:eastAsia="zh-CN" w:bidi="ar"/>
        </w:rPr>
        <w:t>优秀教育工作者评选办法》的通知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各党总支（党委），校党委各部门，各群团组织：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 w:bidi="ar"/>
        </w:rPr>
        <w:t>山东理工大学优秀教师 优秀教育工作者评选办法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》业经研究同意，现印发给你们，请认真贯彻执行。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宋体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                         　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5120" w:firstLineChars="16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　　　 党委办公室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480" w:firstLineChars="14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     2013年7月4日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480" w:firstLineChars="14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山东理工大学优秀教师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优秀教育工作者评选办法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为进一步规范优秀教师、优秀教育工作者评选工作，激励广大教师和教育工作者不断增强职业荣誉感，立足本职、敬业奉献，努力提高教育教学和管理工作水平，根据国家和省有关文件精神，制定本办法。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“优秀教师”评选范围为受聘在教师岗位的人员。其他岗位受聘人员，包括受聘在教师岗位的处科级干部、辅导员参加“优秀教育工作者”评选。学校领导不参加评选。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0" w:right="0" w:firstLine="480" w:firstLineChars="15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（一）“优秀教师”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1. 具有良好的思想政治素质，拥护党的领导，忠诚党的教育事业，自觉遵守教师职业道德规范。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2.热爱教育教学工作，积极开展科学研究和教学改革，教学认真、治学严谨、教学质量高、教学效果好，在人才培养、教书育人等方面成绩突出。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3. 具有良好的团队协作精神，积极参与学校、学院开展的教育教学、学科建设、社会服务等工作，表现优秀。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0" w:right="0" w:firstLine="480" w:firstLineChars="15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（二）“优秀教育工作者”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1.具有良好的政治思想素质，拥护党的领导，忠诚党的教育事业，恪守职业道德，清正廉洁。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2. 热爱本职工作，立足本职，钻研业务，研究规律，模范履行岗位职责，创造性完成工作任务，工作效率高、质量好，成绩突出。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exact"/>
        <w:ind w:left="0" w:right="0" w:firstLine="68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10"/>
          <w:kern w:val="0"/>
          <w:sz w:val="32"/>
          <w:szCs w:val="32"/>
          <w:shd w:val="clear" w:fill="FFFFFF"/>
          <w:lang w:val="en-US" w:eastAsia="zh-CN" w:bidi="ar"/>
        </w:rPr>
        <w:t>3.坚持以人为本，认真对待、妥善处理群众关切的问题，热心为师生服务，群众满意度高。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三、评选数量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“优秀教师”、“优秀教育工作者”评选数量为评选范围内人员总数的6%。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四、</w:t>
      </w: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评选程序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（一）“优秀教师”、“优秀教育工作者”评选工作由各党总支（党委）负责具体组织实施。推荐人选须填写《山东理工大学优秀教师审批表》或《山东理工大学优秀教育工作者审批表》(从人事处网站下载)，经公示无异议后报送人事处审核，审核结果由学校研究批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评选工作要坚持民主、公开、公平、公正，向基层、向一线倾斜的原则。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“优秀教师”、“优秀教育工作者”每年评选一次。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评选工作一般于6月份完成。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五、表彰奖励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（一）学校于每年教师节对“优秀教师”、“优秀教育工作者”进行表彰奖励，并颁发荣誉证书。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（二）通过校内媒体宣传报道受表彰人员，充分发挥示范引领作用。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六、本办法由人事处负责解释。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3" w:firstLineChars="200"/>
        <w:jc w:val="left"/>
      </w:pPr>
      <w:r>
        <w:rPr>
          <w:rFonts w:hint="eastAsia" w:ascii="仿宋_GB2312" w:eastAsia="仿宋_GB2312" w:cs="仿宋_GB2312" w:hAnsiTheme="minorHAnsi"/>
          <w:b/>
          <w:bCs w:val="0"/>
          <w:color w:val="000000"/>
          <w:kern w:val="0"/>
          <w:sz w:val="32"/>
          <w:szCs w:val="32"/>
          <w:lang w:val="en-US" w:eastAsia="zh-CN" w:bidi="ar"/>
        </w:rPr>
        <w:t>七、本办法自印发之日起施行。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spacing w:before="0" w:beforeAutospacing="0" w:after="0" w:afterAutospacing="0" w:line="560" w:lineRule="exact"/>
        <w:ind w:left="0" w:right="0" w:firstLine="280" w:firstLineChars="100"/>
        <w:jc w:val="left"/>
      </w:pPr>
      <w:r>
        <w:rPr>
          <w:rFonts w:hint="eastAsia" w:ascii="仿宋_GB2312" w:eastAsia="仿宋_GB2312" w:cs="仿宋_GB2312" w:hAnsiTheme="minorHAnsi"/>
          <w:kern w:val="0"/>
          <w:sz w:val="28"/>
          <w:szCs w:val="28"/>
          <w:bdr w:val="none" w:color="auto" w:sz="0" w:space="0"/>
          <w:lang w:val="en-US" w:eastAsia="zh-CN" w:bidi="ar"/>
        </w:rPr>
        <w:t>抄送：</w:t>
      </w:r>
      <w:r>
        <w:rPr>
          <w:rFonts w:hint="eastAsia" w:ascii="’’’Times New Roman’’’" w:eastAsia="仿宋_GB2312" w:cs="仿宋_GB2312" w:hAnsiTheme="minorHAnsi"/>
          <w:kern w:val="0"/>
          <w:sz w:val="28"/>
          <w:szCs w:val="28"/>
          <w:bdr w:val="none" w:color="auto" w:sz="0" w:space="0"/>
          <w:lang w:val="en-US" w:eastAsia="zh-CN" w:bidi="ar"/>
        </w:rPr>
        <w:t>各学院，校行政各部门、各直属单位。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  <w:between w:val="single" w:color="auto" w:sz="6" w:space="0"/>
        </w:pBdr>
        <w:spacing w:before="0" w:beforeAutospacing="0" w:after="0" w:afterAutospacing="0" w:line="560" w:lineRule="exact"/>
        <w:ind w:left="0" w:right="0" w:firstLine="280" w:firstLineChars="10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中共山东理工大学委员会办公室                2013年7月4日印发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" w:lineRule="exact"/>
        <w:ind w:left="0" w:right="0"/>
        <w:jc w:val="left"/>
      </w:pPr>
      <w:r>
        <w:rPr>
          <w:rFonts w:hint="default" w:ascii="Times New Roman" w:hAnsi="Times New Roman" w:cs="Times New Roman" w:eastAsiaTheme="minorEastAsia"/>
          <w:kern w:val="0"/>
          <w:sz w:val="18"/>
          <w:szCs w:val="18"/>
          <w:lang w:val="en-US" w:eastAsia="zh-CN" w:bidi="ar"/>
        </w:rPr>
        <w:t xml:space="preserve">      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’’Times New Roman’’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C73C0"/>
    <w:rsid w:val="7BFE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liuwei</dc:creator>
  <cp:lastModifiedBy>liuwei</cp:lastModifiedBy>
  <dcterms:modified xsi:type="dcterms:W3CDTF">2018-07-09T06:13:32Z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